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10393" w14:paraId="35C159B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8E794D" w14:textId="77777777" w:rsidR="00010393" w:rsidRDefault="00C04B7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9D043AF" w14:textId="77777777" w:rsidR="00010393" w:rsidRDefault="00C04B7D">
            <w:pPr>
              <w:spacing w:after="0" w:line="240" w:lineRule="auto"/>
            </w:pPr>
            <w:r>
              <w:t>33950</w:t>
            </w:r>
          </w:p>
        </w:tc>
      </w:tr>
      <w:tr w:rsidR="00010393" w14:paraId="4BFB42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9B3305" w14:textId="77777777" w:rsidR="00010393" w:rsidRDefault="00C04B7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E011E7C" w14:textId="77777777" w:rsidR="00010393" w:rsidRDefault="00C04B7D">
            <w:pPr>
              <w:spacing w:after="0" w:line="240" w:lineRule="auto"/>
            </w:pPr>
            <w:r>
              <w:t>DOM ZDRAVLJA BJELOVARSKO-BILOGORSKE ŽUPANIJE</w:t>
            </w:r>
          </w:p>
        </w:tc>
      </w:tr>
      <w:tr w:rsidR="00010393" w14:paraId="1C2B2A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3139F4" w14:textId="77777777" w:rsidR="00010393" w:rsidRDefault="00C04B7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8890900" w14:textId="77777777" w:rsidR="00010393" w:rsidRDefault="00C04B7D">
            <w:pPr>
              <w:spacing w:after="0" w:line="240" w:lineRule="auto"/>
            </w:pPr>
            <w:r>
              <w:t>31</w:t>
            </w:r>
          </w:p>
        </w:tc>
      </w:tr>
    </w:tbl>
    <w:p w14:paraId="3EFD07B7" w14:textId="77777777" w:rsidR="00010393" w:rsidRDefault="00C04B7D">
      <w:r>
        <w:br/>
      </w:r>
    </w:p>
    <w:p w14:paraId="0C1DC064" w14:textId="77777777" w:rsidR="00010393" w:rsidRDefault="00C04B7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C6A65B0" w14:textId="77777777" w:rsidR="00010393" w:rsidRDefault="00C04B7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8CBF4F7" w14:textId="77777777" w:rsidR="00010393" w:rsidRDefault="00C04B7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3819473" w14:textId="77777777" w:rsidR="00010393" w:rsidRDefault="00010393"/>
    <w:p w14:paraId="2D28EF1F" w14:textId="77777777" w:rsidR="00010393" w:rsidRDefault="00C04B7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66A4EF5" w14:textId="77777777" w:rsidR="00010393" w:rsidRDefault="00C04B7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10393" w14:paraId="666C9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3C68D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4D5E2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DFD98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6766D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A1501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4A64C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0393" w14:paraId="39243F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AA36A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C0F25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DDF2D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787EE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11.148.930,07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69358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17.058.946,74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F87A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153,0</w:t>
            </w:r>
          </w:p>
        </w:tc>
      </w:tr>
      <w:tr w:rsidR="00010393" w14:paraId="172427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21B0E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F4B57C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3483D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71F1C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11.950.268,13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512B91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14.036.988,68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154EE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  <w:tr w:rsidR="00010393" w14:paraId="110F91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9CE9F" w14:textId="77777777" w:rsidR="00010393" w:rsidRDefault="000103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88180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D003D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EFDD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D57EE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3.021.958,06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32719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10393" w14:paraId="1B7D99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1FDF7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8A390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78528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C3211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9.087,52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9642E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526C8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18,1</w:t>
            </w:r>
          </w:p>
        </w:tc>
      </w:tr>
      <w:tr w:rsidR="00010393" w14:paraId="773E14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8E50F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85719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25471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2E3E5B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583.983,23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AF197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2.694.721,19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3011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461,4</w:t>
            </w:r>
          </w:p>
        </w:tc>
      </w:tr>
      <w:tr w:rsidR="00010393" w14:paraId="4D7A10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D9B41" w14:textId="77777777" w:rsidR="00010393" w:rsidRDefault="000103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9E04F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F0C6B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C36EB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574.895,71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3AB3E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2.693.076,08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D2325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468,4</w:t>
            </w:r>
          </w:p>
        </w:tc>
      </w:tr>
      <w:tr w:rsidR="00010393" w14:paraId="44B39C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73CE8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87D3B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8F7F4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D3C55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69E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BF21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0393" w14:paraId="174076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4FCA9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DB258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F905E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23B0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FE71F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246BC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10393" w14:paraId="3D37BE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1D0E6" w14:textId="77777777" w:rsidR="00010393" w:rsidRDefault="000103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B7BE67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4DC2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3EB3D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43BE2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A13D6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10393" w14:paraId="0058B3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892FB" w14:textId="77777777" w:rsidR="00010393" w:rsidRDefault="000103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7B6299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2895C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C58FA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E3E66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328.881,98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7EC8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5ECC31F" w14:textId="77777777" w:rsidR="00010393" w:rsidRDefault="00010393">
      <w:pPr>
        <w:spacing w:after="0"/>
      </w:pPr>
    </w:p>
    <w:p w14:paraId="47065E1F" w14:textId="77777777" w:rsidR="00010393" w:rsidRDefault="00C04B7D">
      <w:r>
        <w:t>U razdoblju od 1. siječnja do 31. prosinca 2025. godine prihodi poslovanja ostvareni su u iznosu od 17.058.946,74 EUR, što predstavlja značajan rast u odnosu na prethodnu godinu. Najveći doprinos povećanju prihoda ostvaren je kroz prihode od Hrvatskog zavoda za zdravstveno osiguranje i ostale proračunske izvore, što upućuje na veći opseg ugovorenih zdravstvenih usluga i povećano financiranje iz javnih sredstava.</w:t>
      </w:r>
    </w:p>
    <w:p w14:paraId="5A5595AA" w14:textId="77777777" w:rsidR="00010393" w:rsidRDefault="00C04B7D">
      <w:r>
        <w:lastRenderedPageBreak/>
        <w:t>Značajan utjecaj na rast prihoda ima i izvanredni prihod u iznosu od 1.473.154,00 EUR, ostvaren temeljem Odluke o isplati sredstava i namjenske pomoći zdravstvenim ustanovama za podmirivanje dijela dospjelih obveza prema dobavljačima lijekova, potrošnog i ugradbenog medicinskog materijala. Dodatno, ostvareni su i prihodi iz EU fondova, čime je povećan iznos proračunskih pomoći i potpora.</w:t>
      </w:r>
    </w:p>
    <w:p w14:paraId="205B82C3" w14:textId="77777777" w:rsidR="00010393" w:rsidRDefault="00C04B7D">
      <w:r>
        <w:t>Ukupni rashodi poslovanja u 2025. godini iznose 14.036.988,68 EUR, što je povećanje u odnosu na prethodnu godinu (11.950.268,13 EUR), odnosno rast od približno 17,5 %. Najznačajnije povećanje bilježi se kod rashoda za zaposlene, posebice u stavci bruto plaća, koje su porasle s 6.443.368,98 EUR na 7.387.945,39 EUR, te kod materijalnih rashoda, koji su porasli s 4.233.131,69 EUR na 5.188.791,22 EUR. Unutar materijalnih rashoda najveći rast odnosi se na rashode za materijal i sirovine, ponajprije zbog većih tr</w:t>
      </w:r>
      <w:r>
        <w:t>oškova medicinskog i potrošnog materijala. Istodobno, kod pojedinih skupina rashoda, uključujući intelektualne usluge i financijske rashode, zabilježeno je smanjenje, čime je djelomično ublažen ukupni rast rashoda.</w:t>
      </w:r>
    </w:p>
    <w:p w14:paraId="71B42ACF" w14:textId="77777777" w:rsidR="00010393" w:rsidRDefault="00C04B7D">
      <w:r>
        <w:t>Na temelju navedenog, u 2025. godini ostvaren je višak prihoda poslovanja u iznosu od 3.021.958,06 EUR</w:t>
      </w:r>
    </w:p>
    <w:p w14:paraId="27DB3B57" w14:textId="77777777" w:rsidR="00010393" w:rsidRDefault="00C04B7D">
      <w:r>
        <w:t>Prihodi od prodaje nefinancijske imovine ostvareni su u iznosu od 1.645,11 EUR te su manji u odnosu na prethodnu godinu zbog manjeg obujma prodaje prijevoznih sredstava i građevinskih objekata. Rashodi za nabavu nefinancijske imovine iznose 2.694.721,19 EUR, što je povećanje u odnosu na prethodno razdoblje, prvenstveno zbog većih ulaganja u građevinske objekte i opremu, slijedom čega je ostvaren manjak prihoda od nefinancijske imovine u iznosu od 2.693.076,08 EUR.</w:t>
      </w:r>
    </w:p>
    <w:p w14:paraId="20804110" w14:textId="77777777" w:rsidR="00010393" w:rsidRDefault="00C04B7D">
      <w:r>
        <w:t>U izvještajnom razdoblju nije bilo primitaka niti izdataka od financijske imovine i zaduživanja.</w:t>
      </w:r>
    </w:p>
    <w:p w14:paraId="734CCF16" w14:textId="77777777" w:rsidR="00010393" w:rsidRDefault="00C04B7D">
      <w:r>
        <w:t>Konačno, na razini svih prihoda i primitaka te rashoda i izdataka, ostvaren je višak prihoda i primitaka u iznosu od 328.881,98 EUR, koji je najvećim dijelom rezultat navedenog izvanrednog prihoda pomoći proračunskim korisnicima za podmirivanje dijela dospjelih obveza prema dobavljačima.</w:t>
      </w:r>
    </w:p>
    <w:p w14:paraId="658254B2" w14:textId="77777777" w:rsidR="00C04B7D" w:rsidRDefault="00C04B7D"/>
    <w:p w14:paraId="6FF98E8A" w14:textId="77777777" w:rsidR="00C04B7D" w:rsidRDefault="00C04B7D"/>
    <w:p w14:paraId="64B17BBF" w14:textId="53F81990" w:rsidR="00010393" w:rsidRDefault="00C04B7D">
      <w:r>
        <w:br/>
      </w:r>
    </w:p>
    <w:p w14:paraId="07E538DD" w14:textId="77777777" w:rsidR="00010393" w:rsidRDefault="00C04B7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FC32E07" w14:textId="77777777" w:rsidR="00010393" w:rsidRDefault="00C04B7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10393" w14:paraId="3FAB7C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9C823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FE1D3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71FEA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019B1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6724A" w14:textId="77777777" w:rsidR="00010393" w:rsidRDefault="00C04B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10393" w14:paraId="771A3A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A624C" w14:textId="77777777" w:rsidR="00010393" w:rsidRDefault="0001039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9BD99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B7511" w14:textId="77777777" w:rsidR="00010393" w:rsidRDefault="00C04B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6E8E3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2.641.685,20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132E4" w14:textId="77777777" w:rsidR="00010393" w:rsidRDefault="00C04B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3AB3BF" w14:textId="77777777" w:rsidR="00010393" w:rsidRDefault="00010393">
      <w:pPr>
        <w:spacing w:after="0"/>
      </w:pPr>
    </w:p>
    <w:p w14:paraId="1B0E8D44" w14:textId="77777777" w:rsidR="00010393" w:rsidRDefault="00C04B7D">
      <w:r>
        <w:t>Stanje obveza na kraju izvještajnog razdoblja iznosi 4.092.401,58 EUR, pri čemu dospjele obveze iznose 2.641.685,20 EUR, a nedospjele obveze 1.450.716,38 EUR.</w:t>
      </w:r>
    </w:p>
    <w:p w14:paraId="184E2C3E" w14:textId="77777777" w:rsidR="00010393" w:rsidRDefault="00C04B7D">
      <w:r>
        <w:t>U odnosu na početno stanje, ukupne obveze su smanjene, što je rezultat ostvarenih namjenskih pomoći za podmirenje dijela dospjelih obveza te pojačanih aktivnosti na praćenju i upravljanju obvezama. Kretanje obveza tijekom godine bilo je pod utjecajem rasta rashoda za zaposlene i povećanih materijalnih rashoda, osobito za lijekove, medicinski i potrošni materijal.</w:t>
      </w:r>
    </w:p>
    <w:p w14:paraId="0A040564" w14:textId="77777777" w:rsidR="00010393" w:rsidRDefault="00C04B7D">
      <w:r>
        <w:t>Istodobno, ugovoreni prihodi ne prate u potpunosti stvarnu dinamiku i strukturu troškova, zbog čega se pojedini rashodi povećavaju brže od prihoda, što negativno utječe na likvidnost i otežava pravodobno podmirivanje obveza.</w:t>
      </w:r>
    </w:p>
    <w:p w14:paraId="574F9003" w14:textId="77777777" w:rsidR="00010393" w:rsidRDefault="00C04B7D">
      <w:r>
        <w:t>Najveći dio dospjelih obveza odnosi se na obveze prema dobavljačima za robu koja se prodaje u ljekarnama, kao i na medicinski i potrošni materijal, dok se najveći dio nedospjelih obveza odnosi na obveze za rashode poslovanja.</w:t>
      </w:r>
    </w:p>
    <w:p w14:paraId="2254B642" w14:textId="77777777" w:rsidR="00010393" w:rsidRDefault="00010393"/>
    <w:p w14:paraId="26E0BC6C" w14:textId="77777777" w:rsidR="00010393" w:rsidRDefault="00C04B7D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6A948CA" w14:textId="77777777" w:rsidR="00010393" w:rsidRDefault="00C04B7D">
      <w:pPr>
        <w:spacing w:line="240" w:lineRule="auto"/>
        <w:jc w:val="both"/>
      </w:pPr>
      <w:r>
        <w:rPr>
          <w:b/>
        </w:rPr>
        <w:t>EU izvještaj</w:t>
      </w:r>
    </w:p>
    <w:p w14:paraId="775A20C8" w14:textId="77777777" w:rsidR="00010393" w:rsidRDefault="00C04B7D">
      <w:bookmarkStart w:id="0" w:name="_Hlk220933878"/>
      <w:r>
        <w:t>Tijekom 2025. godine Dom zdravlja koristi bespovratna sredstva iz Mehanizma za oporavak i otpornost (NPOO), evidentirana na izvoru financiranja 581, putem pomoći temeljem prijenosa EU sredstava.</w:t>
      </w:r>
    </w:p>
    <w:p w14:paraId="618AAF0F" w14:textId="77777777" w:rsidR="00C04B7D" w:rsidRDefault="00C04B7D">
      <w:r>
        <w:t>U izvještajnom razdoblju ostvarene su pomoći u ukupnom iznosu od</w:t>
      </w:r>
      <w:r>
        <w:t xml:space="preserve"> </w:t>
      </w:r>
      <w:r>
        <w:t xml:space="preserve">1.738.602,14 EUR, od čega: </w:t>
      </w:r>
      <w:r>
        <w:t xml:space="preserve">349.061,70 EUR tekućih pomoći odnosi se na projekt NPOO.C5.1.R3-I1.01.0063 - </w:t>
      </w:r>
      <w:r>
        <w:t>Nacionalni plan oporavka i otpornosti 2021.–2026., a sredstva su korištena za financiranje rashoda poslovanja povezanih sa specijalizacijama (plaće, doprinosi, troškovi prijevoza i stručnog</w:t>
      </w:r>
      <w:r>
        <w:t xml:space="preserve"> </w:t>
      </w:r>
      <w:r>
        <w:t>usavršavanja zaposlenika).</w:t>
      </w:r>
    </w:p>
    <w:p w14:paraId="687F19BF" w14:textId="77777777" w:rsidR="00C04B7D" w:rsidRDefault="00C04B7D">
      <w:r>
        <w:br/>
        <w:t xml:space="preserve">1.389.540,44 EUR kapitalnih pomoći odnosi se na projekte: </w:t>
      </w:r>
    </w:p>
    <w:p w14:paraId="111DC2AF" w14:textId="77777777" w:rsidR="00C04B7D" w:rsidRDefault="00C04B7D">
      <w:r>
        <w:t>Pružanje energetske usluge u svrhu energetske obnove zgrade DZBBŽ – Ispostava Daruvar</w:t>
      </w:r>
      <w:r>
        <w:br/>
        <w:t xml:space="preserve">Pružanje energetske usluge u svrhu energetske obnove zgrade DZBBŽ – Ispostava Grubišno Polje, </w:t>
      </w:r>
      <w:r>
        <w:t>koji se provode prema ESCO modelu (ugovaranje energetske usluge).</w:t>
      </w:r>
    </w:p>
    <w:p w14:paraId="76A64F90" w14:textId="484B703D" w:rsidR="00010393" w:rsidRDefault="00C04B7D">
      <w:r>
        <w:br/>
        <w:t xml:space="preserve">U skladu s modificiranim načelom nastanka događaja, u dijelu obračunatih prihoda </w:t>
      </w:r>
      <w:r>
        <w:lastRenderedPageBreak/>
        <w:t>poslovanja – promet evidentiran je iznos od 480.995,41 EUR, od čega se 346.029,69 EUR odnosi na specijalizacije, a 134.965,72 EUR na opravdani dio predujma za projekte energetske obnove.</w:t>
      </w:r>
    </w:p>
    <w:p w14:paraId="654738D4" w14:textId="77777777" w:rsidR="00010393" w:rsidRDefault="00C04B7D">
      <w:r>
        <w:t>U okviru projekata energetske obnove tijekom 2025. godine realizirana su ulaganja u nefinancijsku imovinu u ukupnom iznosu od 2.040.349,49 EUR, a navedeni iznos obuhvaća:</w:t>
      </w:r>
    </w:p>
    <w:p w14:paraId="785BFE0B" w14:textId="77777777" w:rsidR="00010393" w:rsidRDefault="00C04B7D">
      <w:r>
        <w:t>3 privremene situacije projekata koji se provode prema ESCO modelu (energetska obnova Ispostava Daruvar i Grubišno Polje),</w:t>
      </w:r>
      <w:r>
        <w:br/>
        <w:t>7 privremenih situacija projekta NPOO.C6.1.R1-I1.04.022, koje se odnose na prihvatljive troškove izvođača radova i stručnog nadzora.</w:t>
      </w:r>
      <w:r>
        <w:br/>
        <w:t>Na dan 31. prosinca 2025. godine iskazane su obveze za EU predujmove dane iz državnog proračuna u iznosu od 56.859,68 EUR, što predstavlja neiskorišteni dio primljenog predujma koji će biti opravdan u sljedećem razdoblju.</w:t>
      </w:r>
    </w:p>
    <w:bookmarkEnd w:id="0"/>
    <w:p w14:paraId="7C2DF4D0" w14:textId="77777777" w:rsidR="00010393" w:rsidRDefault="00010393"/>
    <w:sectPr w:rsidR="0001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393"/>
    <w:rsid w:val="00010393"/>
    <w:rsid w:val="005E2D62"/>
    <w:rsid w:val="00C0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7337"/>
  <w15:docId w15:val="{4A3C21A4-EA65-40D6-B239-6F74169A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Hrvoje Mateković</cp:lastModifiedBy>
  <cp:revision>2</cp:revision>
  <dcterms:created xsi:type="dcterms:W3CDTF">2026-02-02T13:08:00Z</dcterms:created>
  <dcterms:modified xsi:type="dcterms:W3CDTF">2026-02-02T13:12:00Z</dcterms:modified>
</cp:coreProperties>
</file>